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E99B" w14:textId="77777777" w:rsidR="00246F76" w:rsidRPr="00246F76" w:rsidRDefault="00246F76" w:rsidP="00246F76">
      <w:pPr>
        <w:spacing w:before="375" w:line="435" w:lineRule="atLeast"/>
        <w:jc w:val="left"/>
        <w:outlineLvl w:val="0"/>
        <w:rPr>
          <w:rFonts w:eastAsia="Times New Roman" w:cs="Times New Roman"/>
          <w:b/>
          <w:bCs/>
          <w:color w:val="171717"/>
          <w:kern w:val="36"/>
          <w:sz w:val="36"/>
          <w:szCs w:val="36"/>
          <w:lang w:val="ru-BY" w:eastAsia="ru-BY"/>
          <w14:ligatures w14:val="none"/>
        </w:rPr>
      </w:pPr>
      <w:r w:rsidRPr="00246F76">
        <w:rPr>
          <w:rFonts w:eastAsia="Times New Roman" w:cs="Times New Roman"/>
          <w:b/>
          <w:bCs/>
          <w:color w:val="171717"/>
          <w:kern w:val="36"/>
          <w:sz w:val="36"/>
          <w:szCs w:val="36"/>
          <w:lang w:val="ru-BY" w:eastAsia="ru-BY"/>
          <w14:ligatures w14:val="none"/>
        </w:rPr>
        <w:t>Политика в отношении обработки персональных данных</w:t>
      </w:r>
    </w:p>
    <w:p w14:paraId="23CFDB78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по состоянию на 3 ноября 2023 г.</w:t>
      </w:r>
    </w:p>
    <w:p w14:paraId="78233D51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1. Общие положения</w:t>
      </w:r>
    </w:p>
    <w:p w14:paraId="7AF44B80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1.1. Национальный центр защиты персональных данных уделяет особое внимание защите персональных данных при их обработке и с уважением относится к соблюдению прав субъектов персональных данных.</w:t>
      </w: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br/>
        <w:t>Национальный центр защиты персональных данных уделяет особое внимание защите персональных данных при их обработке и с уважением относится к соблюдению прав субъектов персональных данных.</w:t>
      </w:r>
    </w:p>
    <w:p w14:paraId="0901701B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br/>
        <w:t xml:space="preserve">Политика не применяется к обработке персональных данных в процессе трудовой деятельности и при осуществлении административных процедур (в отношении работников и бывших работников), при видеонаблюдении, а также при обработке </w:t>
      </w:r>
      <w:proofErr w:type="spellStart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cookie</w:t>
      </w:r>
      <w:proofErr w:type="spellEnd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-файлов на интернет-сайте Национального центра защиты персональных данных.</w:t>
      </w:r>
    </w:p>
    <w:p w14:paraId="17366000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1.3. Почтовый адрес Национального центра защиты персональных данных: 220004, г. Минск, ул. Клары Цеткин, 24</w:t>
      </w: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noBreakHyphen/>
        <w:t xml:space="preserve">3; адрес в сети Интернет: https://cpd.by; </w:t>
      </w:r>
      <w:proofErr w:type="spellStart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e-mail</w:t>
      </w:r>
      <w:proofErr w:type="spellEnd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: </w:t>
      </w:r>
      <w:hyperlink r:id="rId5" w:history="1">
        <w:r w:rsidRPr="00246F76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val="ru-BY" w:eastAsia="ru-BY"/>
            <w14:ligatures w14:val="none"/>
          </w:rPr>
          <w:t>info@cpd.by</w:t>
        </w:r>
      </w:hyperlink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.</w:t>
      </w:r>
    </w:p>
    <w:p w14:paraId="1C0DAF94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1.4. В настоящей Политике используются термины и их определения в значении, определенном Законом.</w:t>
      </w:r>
    </w:p>
    <w:p w14:paraId="5415707E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1.5. Персональные данные могут быть использованы Национальным центром защиты персональных данных в научных или иных исследовательских целях после обязательного обезличивания таких персональных данных, в частности, для:</w:t>
      </w:r>
    </w:p>
    <w:p w14:paraId="558986A9" w14:textId="77777777" w:rsidR="00246F76" w:rsidRPr="00246F76" w:rsidRDefault="00246F76" w:rsidP="00246F76">
      <w:pPr>
        <w:numPr>
          <w:ilvl w:val="0"/>
          <w:numId w:val="2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подготовки и публикации ежегодных отчетов о своей деятельности;</w:t>
      </w:r>
    </w:p>
    <w:p w14:paraId="17FFE906" w14:textId="77777777" w:rsidR="00246F76" w:rsidRPr="00246F76" w:rsidRDefault="00246F76" w:rsidP="00246F76">
      <w:pPr>
        <w:numPr>
          <w:ilvl w:val="0"/>
          <w:numId w:val="2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подготовки и дачи разъяснений по вопросам применения законодательства о персональных данных;</w:t>
      </w:r>
    </w:p>
    <w:p w14:paraId="4F9B46AC" w14:textId="77777777" w:rsidR="00246F76" w:rsidRPr="00246F76" w:rsidRDefault="00246F76" w:rsidP="00246F76">
      <w:pPr>
        <w:numPr>
          <w:ilvl w:val="0"/>
          <w:numId w:val="2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подготовки и осуществления публикаций и выступлений, связанных с исполнением работниками Национального центра защиты персональных данных своих должностных обязанностей.</w:t>
      </w:r>
    </w:p>
    <w:p w14:paraId="12F316DE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1.6. Национальный центр защиты персональных данных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12C10916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12863A95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Национальный центр защиты персональных данных осуществляет обработку персональных данных субъектов персональных данных в целях, объеме, на правовых основаниях и в сроки применительно к каждой категории субъектов персональных данных согласно приложению 1 к настоящей Политике.</w:t>
      </w:r>
    </w:p>
    <w:p w14:paraId="42821256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3. Уполномоченные лица.</w:t>
      </w: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br/>
      </w:r>
      <w:r w:rsidRPr="00246F76">
        <w:rPr>
          <w:rFonts w:eastAsia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Трансграничная передача персональных данных</w:t>
      </w:r>
    </w:p>
    <w:p w14:paraId="13064D87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3.1. Национальный центр защиты персональных данных поручает обработку персональных данных уполномоченным лицам.</w:t>
      </w: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br/>
        <w:t>Перечень уполномоченных лиц, обрабатывающих персональные данные по поручению Национального центра защиты персональных данных, содержится в приложении 2 к настоящей Политике.</w:t>
      </w:r>
    </w:p>
    <w:p w14:paraId="73D8F72D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lastRenderedPageBreak/>
        <w:t>3.2. Национальный центр защиты персональных данных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proofErr w:type="spellStart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Instagram</w:t>
      </w:r>
      <w:proofErr w:type="spellEnd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TikTok</w:t>
      </w:r>
      <w:proofErr w:type="spellEnd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Теlegram</w:t>
      </w:r>
      <w:proofErr w:type="spellEnd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, видеохостинг YouTube).</w:t>
      </w: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br/>
        <w:t>Трансграничная передача персональных данных на территорию иностранного государства может осуществляться Национальным центром защиты персональных данных, если:</w:t>
      </w:r>
    </w:p>
    <w:p w14:paraId="658F6FF5" w14:textId="77777777" w:rsidR="00246F76" w:rsidRPr="00246F76" w:rsidRDefault="00246F76" w:rsidP="00246F76">
      <w:pPr>
        <w:numPr>
          <w:ilvl w:val="0"/>
          <w:numId w:val="3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на территории иностранного государства обеспечивается надлежащий уровень защиты прав субъектов персональных данных</w:t>
      </w:r>
      <w:bookmarkStart w:id="0" w:name="_ftnref1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fldChar w:fldCharType="begin"/>
      </w: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instrText xml:space="preserve"> HYPERLINK "https://cpd.by/storage/2023/07/perechen_gosudarstv.docx" </w:instrText>
      </w: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fldChar w:fldCharType="separate"/>
      </w:r>
      <w:r w:rsidRPr="00246F76">
        <w:rPr>
          <w:rFonts w:eastAsia="Times New Roman" w:cs="Times New Roman"/>
          <w:color w:val="0000FF"/>
          <w:kern w:val="0"/>
          <w:sz w:val="24"/>
          <w:szCs w:val="24"/>
          <w:u w:val="single"/>
          <w:lang w:val="ru-BY" w:eastAsia="ru-BY"/>
          <w14:ligatures w14:val="none"/>
        </w:rPr>
        <w:t>[1]</w:t>
      </w: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fldChar w:fldCharType="end"/>
      </w:r>
      <w:bookmarkEnd w:id="0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 – без ограничений при наличии правовых оснований, предусмотренных Законом;</w:t>
      </w:r>
    </w:p>
    <w:p w14:paraId="4AC6F886" w14:textId="77777777" w:rsidR="00246F76" w:rsidRPr="00246F76" w:rsidRDefault="00246F76" w:rsidP="00246F76">
      <w:pPr>
        <w:numPr>
          <w:ilvl w:val="0"/>
          <w:numId w:val="3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на территории иностранного государства не обеспечивается надлежащий уровень защиты прав субъектов персональных данных – в случаях, предусмотренных статьей 9 Закона, в том числе:</w:t>
      </w:r>
    </w:p>
    <w:p w14:paraId="4E390372" w14:textId="77777777" w:rsidR="00246F76" w:rsidRPr="00246F76" w:rsidRDefault="00246F76" w:rsidP="00246F76">
      <w:pPr>
        <w:numPr>
          <w:ilvl w:val="1"/>
          <w:numId w:val="3"/>
        </w:numPr>
        <w:ind w:left="114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когда дано согласие субъекта персональных данных при условии, что субъект персональных данных проинформирован о рисках, возникающих в связи с отсутствием надлежащего уровня их защиты;</w:t>
      </w:r>
    </w:p>
    <w:p w14:paraId="7C46134A" w14:textId="77777777" w:rsidR="00246F76" w:rsidRPr="00246F76" w:rsidRDefault="00246F76" w:rsidP="00246F76">
      <w:pPr>
        <w:numPr>
          <w:ilvl w:val="1"/>
          <w:numId w:val="3"/>
        </w:numPr>
        <w:ind w:left="114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при размещении информации о своей деятельности в глобальной компьютерной сети Интернет;</w:t>
      </w:r>
    </w:p>
    <w:p w14:paraId="275EE6C9" w14:textId="77777777" w:rsidR="00246F76" w:rsidRPr="00246F76" w:rsidRDefault="00246F76" w:rsidP="00246F76">
      <w:pPr>
        <w:numPr>
          <w:ilvl w:val="1"/>
          <w:numId w:val="3"/>
        </w:numPr>
        <w:ind w:left="114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когда обработка персональных данных является необходимой для выполнения обязанностей (полномочий), предусмотренных законодательными актами.</w:t>
      </w:r>
    </w:p>
    <w:p w14:paraId="7EC86BE2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4. Права субъектов персональных данных</w:t>
      </w:r>
    </w:p>
    <w:p w14:paraId="69DFA626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4.1. Субъект персональных данных имеет право:</w:t>
      </w:r>
    </w:p>
    <w:p w14:paraId="43F5F31F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4.1.1. на отзыв своего согласия, если для обработки персональных данных Национальный центр защиты персональных данных обращался к субъекту персональных данных за получением согласия. Право на отзыв согласия не может быть реализовано в случае, когда обработка осуществляется на иных правовых основаниях (например, в соответствии с требованиями законодательства либо на основании договора);</w:t>
      </w:r>
    </w:p>
    <w:p w14:paraId="4D7CB4A4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4.1.2. на получение информации, касающейся обработки своих персональных данных Национальным центром защиты персональных данных, содержащей:</w:t>
      </w:r>
    </w:p>
    <w:p w14:paraId="442AE340" w14:textId="77777777" w:rsidR="00246F76" w:rsidRPr="00246F76" w:rsidRDefault="00246F76" w:rsidP="00246F76">
      <w:pPr>
        <w:numPr>
          <w:ilvl w:val="0"/>
          <w:numId w:val="4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место нахождения Национального центра защиты персональных данных;</w:t>
      </w:r>
    </w:p>
    <w:p w14:paraId="3C5CE8C4" w14:textId="77777777" w:rsidR="00246F76" w:rsidRPr="00246F76" w:rsidRDefault="00246F76" w:rsidP="00246F76">
      <w:pPr>
        <w:numPr>
          <w:ilvl w:val="0"/>
          <w:numId w:val="4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подтверждение факта обработки персональных данных обратившегося лица Национальным центром защиты персональных данных;</w:t>
      </w:r>
    </w:p>
    <w:p w14:paraId="535A6ADD" w14:textId="77777777" w:rsidR="00246F76" w:rsidRPr="00246F76" w:rsidRDefault="00246F76" w:rsidP="00246F76">
      <w:pPr>
        <w:numPr>
          <w:ilvl w:val="0"/>
          <w:numId w:val="4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персональные данные и источник их получения;</w:t>
      </w:r>
    </w:p>
    <w:p w14:paraId="4EC27AF3" w14:textId="77777777" w:rsidR="00246F76" w:rsidRPr="00246F76" w:rsidRDefault="00246F76" w:rsidP="00246F76">
      <w:pPr>
        <w:numPr>
          <w:ilvl w:val="0"/>
          <w:numId w:val="4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правовые основания и цели обработки персональных данных;</w:t>
      </w:r>
    </w:p>
    <w:p w14:paraId="15F38DE1" w14:textId="77777777" w:rsidR="00246F76" w:rsidRPr="00246F76" w:rsidRDefault="00246F76" w:rsidP="00246F76">
      <w:pPr>
        <w:numPr>
          <w:ilvl w:val="0"/>
          <w:numId w:val="4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срок, на который дано согласие (если обработка персональных данных осуществляется на основании согласия);</w:t>
      </w:r>
    </w:p>
    <w:p w14:paraId="3B969CCC" w14:textId="77777777" w:rsidR="00246F76" w:rsidRPr="00246F76" w:rsidRDefault="00246F76" w:rsidP="00246F76">
      <w:pPr>
        <w:numPr>
          <w:ilvl w:val="0"/>
          <w:numId w:val="4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наименование и место нахождения уполномоченного лица (уполномоченных лиц);</w:t>
      </w:r>
    </w:p>
    <w:p w14:paraId="1C0A1075" w14:textId="77777777" w:rsidR="00246F76" w:rsidRPr="00246F76" w:rsidRDefault="00246F76" w:rsidP="00246F76">
      <w:pPr>
        <w:numPr>
          <w:ilvl w:val="0"/>
          <w:numId w:val="4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иную информацию, предусмотренную законодательством;</w:t>
      </w:r>
    </w:p>
    <w:p w14:paraId="492623E2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4.1.3. требовать от Национального центра защиты персональных данных внесения изменений в свои персональные данные в случае, если персональные данные являются неполными, устаревшими или неточными. В этих целях субъект персональных данных прилагает соответствующие документы и (или) их заверенные в установленном порядке копии, подтверждающие необходимость внесения изменений в персональные данные;</w:t>
      </w:r>
    </w:p>
    <w:p w14:paraId="573B6499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4.1.4. на получение от Национального центра защиты персональных данных информации о предоставлении своих персональных данных, обрабатываемых Национальным центром защиты персональных данных, третьим лицам один раз в календарный год бесплатно, если иное не предусмотрено Законом и иными законодательными актами;</w:t>
      </w:r>
    </w:p>
    <w:p w14:paraId="1C8F3712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4.1.5. требовать от Национального центра защиты персональных данных бесплатного прекращения обработки своих персональных данных, включая их 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3D40802F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lastRenderedPageBreak/>
        <w:t>4.1.6. на обжалование действий (бездействия) и решений Национального центра защиты персональных данных, нарушающих его права при обработке персональных данных, в порядке, установленном законодательством.</w:t>
      </w:r>
    </w:p>
    <w:p w14:paraId="6E827253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4.2. Для реализации своих прав, связанных с обработкой персональных данных Национальным центром защиты персональных данных, субъект персональных данных подает в Национальный центр защиты персональных данных заявление в письменной форме по почтовому адресу, указанному в подпункте 1.3 пункта 1 настоящей Политики, или посредством государственной единой (интегрированной) республиканской информационной системы учета и обработки обращений граждан и юридических лиц (https://обращения.бел), а в случае реализации права на отзыв согласия – в форме, в которой такое согласие было получено.</w:t>
      </w: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br/>
        <w:t>Такое заявление должно содержать:</w:t>
      </w:r>
    </w:p>
    <w:p w14:paraId="1D68BF88" w14:textId="77777777" w:rsidR="00246F76" w:rsidRPr="00246F76" w:rsidRDefault="00246F76" w:rsidP="00246F76">
      <w:pPr>
        <w:numPr>
          <w:ilvl w:val="0"/>
          <w:numId w:val="5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5688951A" w14:textId="77777777" w:rsidR="00246F76" w:rsidRPr="00246F76" w:rsidRDefault="00246F76" w:rsidP="00246F76">
      <w:pPr>
        <w:numPr>
          <w:ilvl w:val="0"/>
          <w:numId w:val="5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дату рождения субъекта персональных данных;</w:t>
      </w:r>
    </w:p>
    <w:p w14:paraId="50CCF856" w14:textId="77777777" w:rsidR="00246F76" w:rsidRPr="00246F76" w:rsidRDefault="00246F76" w:rsidP="00246F76">
      <w:pPr>
        <w:numPr>
          <w:ilvl w:val="0"/>
          <w:numId w:val="5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изложение сути требований субъекта персональных данных;</w:t>
      </w:r>
    </w:p>
    <w:p w14:paraId="625FD8AD" w14:textId="77777777" w:rsidR="00246F76" w:rsidRPr="00246F76" w:rsidRDefault="00246F76" w:rsidP="00246F76">
      <w:pPr>
        <w:numPr>
          <w:ilvl w:val="0"/>
          <w:numId w:val="5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идентификационный номер субъекта персональных данных, при 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12085219" w14:textId="77777777" w:rsidR="00246F76" w:rsidRPr="00246F76" w:rsidRDefault="00246F76" w:rsidP="00246F76">
      <w:pPr>
        <w:numPr>
          <w:ilvl w:val="0"/>
          <w:numId w:val="5"/>
        </w:numPr>
        <w:ind w:left="420"/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6442361D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Национальный центр защиты персональных данных не рассматривает заявления субъектов персональных данных, поступившие в его адрес иными способами (</w:t>
      </w:r>
      <w:proofErr w:type="spellStart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e-mail</w:t>
      </w:r>
      <w:proofErr w:type="spellEnd"/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, телефон и т.п).</w:t>
      </w:r>
    </w:p>
    <w:p w14:paraId="5B22D6BE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4.3. За содействием в реализации прав, связанных с обработкой персональных данных Национальным центром защиты персональных данных, субъект персональных данных может обратиться к лицу, ответственному за осуществление внутреннего контроля за обработкой персональных данных в Национальном центре защиты персональных данных, направив сообщение на электронный адрес </w:t>
      </w:r>
      <w:hyperlink r:id="rId6" w:history="1">
        <w:r w:rsidRPr="00246F76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val="ru-BY" w:eastAsia="ru-BY"/>
            <w14:ligatures w14:val="none"/>
          </w:rPr>
          <w:t>dpo@cpd.by</w:t>
        </w:r>
      </w:hyperlink>
      <w:r w:rsidRPr="00246F76"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  <w:t>.</w:t>
      </w:r>
    </w:p>
    <w:p w14:paraId="6295198D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5. Цели, объем, правовые основания и сроки обработки персональных данных Национальным центром защиты персональных данных</w:t>
      </w:r>
    </w:p>
    <w:p w14:paraId="0D0230F5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Осуществление контроля за обработкой персональных данных операторами (уполномоченными лицами)</w:t>
      </w:r>
    </w:p>
    <w:p w14:paraId="281CEEB6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Выдача разрешения на трансграничную передачу персональных данных</w:t>
      </w:r>
    </w:p>
    <w:p w14:paraId="78FE8F6F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Получение уведомлений о нарушении систем защиты</w:t>
      </w:r>
    </w:p>
    <w:p w14:paraId="58D194ED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Проведение добровольного аудита соблюдения операторами (уполномоченными лицами) требований законодательства о персональных данных</w:t>
      </w:r>
    </w:p>
    <w:p w14:paraId="7B4B2ED2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Изучение наличия в сети Интернет недостоверных или полученных незаконным путем персональных данных для подготовки требований об их изменении, блокировании или удалении</w:t>
      </w:r>
    </w:p>
    <w:p w14:paraId="0E502F9E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Ведение реестра операторов персональных данных</w:t>
      </w:r>
    </w:p>
    <w:p w14:paraId="353F87A8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Рассмотрение жалоб субъектов персональных данных</w:t>
      </w:r>
    </w:p>
    <w:p w14:paraId="614407E7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Рассмотрение обращений</w:t>
      </w:r>
    </w:p>
    <w:p w14:paraId="09F01AE3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Предварительная запись на личный прием</w:t>
      </w:r>
    </w:p>
    <w:p w14:paraId="5B443481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Проведение личного приема</w:t>
      </w:r>
    </w:p>
    <w:p w14:paraId="629F21FC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Проведение ”прямых телефонных линий“</w:t>
      </w:r>
    </w:p>
    <w:p w14:paraId="0DE7BAAF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Реализация образовательных программ дополнительного образования взрослых</w:t>
      </w:r>
    </w:p>
    <w:p w14:paraId="0DF181E7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Оказание информационно-консультационных услуг</w:t>
      </w:r>
    </w:p>
    <w:p w14:paraId="0511227C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lastRenderedPageBreak/>
        <w:t>Обеспечение безопасных условий при организации образовательного процесса в части осуществления пропускного режима</w:t>
      </w:r>
    </w:p>
    <w:p w14:paraId="7D649EEC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Рассмотрение резюме (анкет, автобиографий, листков по учету кадров, заявлений, рекомендательных писем и т.п.) соискателей на вакантные должности</w:t>
      </w:r>
    </w:p>
    <w:p w14:paraId="1831C690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Оформление (прием) на работу</w:t>
      </w:r>
    </w:p>
    <w:p w14:paraId="489B3B7C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Заключение и исполнение гражданско-правовых договоров, не связанных с осуществлением основных задач, возложенных на Национальный центр защиты персональных данных (например, поставка, купля-продажа, подряд и т.п.)</w:t>
      </w:r>
    </w:p>
    <w:p w14:paraId="0645CE3B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Размещение информации о деятельности Национального центра защиты персональных данных на официальном интернет-сайте, в социальных сетях и мессенджерах</w:t>
      </w:r>
    </w:p>
    <w:p w14:paraId="3F055A2B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Проведение конкурса на лучшую работу в сфере защиты персональных данных</w:t>
      </w:r>
    </w:p>
    <w:p w14:paraId="4B60E7F5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Участие в деятельности консультативного совета при Национальном центре защиты персональных данных</w:t>
      </w:r>
    </w:p>
    <w:p w14:paraId="5FAF6EA7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Организация практики для студентов</w:t>
      </w:r>
    </w:p>
    <w:p w14:paraId="6834F5E6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</w:pPr>
      <w:r w:rsidRPr="00246F76">
        <w:rPr>
          <w:rFonts w:eastAsia="Times New Roman" w:cs="Times New Roman"/>
          <w:kern w:val="0"/>
          <w:sz w:val="26"/>
          <w:szCs w:val="26"/>
          <w:lang w:val="ru-BY" w:eastAsia="ru-BY"/>
          <w14:ligatures w14:val="none"/>
        </w:rPr>
        <w:t>Ведение системы учета документооборота</w:t>
      </w:r>
    </w:p>
    <w:p w14:paraId="52CA74B6" w14:textId="77777777" w:rsidR="00246F76" w:rsidRPr="00246F76" w:rsidRDefault="00246F76" w:rsidP="00246F76">
      <w:pPr>
        <w:jc w:val="left"/>
        <w:rPr>
          <w:rFonts w:eastAsia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246F76">
        <w:rPr>
          <w:rFonts w:eastAsia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6. Перечень уполномоченных лиц, обрабатывающих персональные данные по поручению Национального центра защиты персональных данных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198"/>
        <w:gridCol w:w="2136"/>
        <w:gridCol w:w="2362"/>
        <w:gridCol w:w="2061"/>
      </w:tblGrid>
      <w:tr w:rsidR="00246F76" w:rsidRPr="00246F76" w14:paraId="7EACBEC7" w14:textId="77777777" w:rsidTr="00246F76"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C4322" w14:textId="77777777" w:rsidR="00246F76" w:rsidRPr="00246F76" w:rsidRDefault="00246F76" w:rsidP="00246F76">
            <w:pPr>
              <w:spacing w:line="288" w:lineRule="atLeast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№ п/п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84118" w14:textId="77777777" w:rsidR="00246F76" w:rsidRPr="00246F76" w:rsidRDefault="00246F76" w:rsidP="00246F76">
            <w:pPr>
              <w:spacing w:line="288" w:lineRule="atLeast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Уполномоченное лицо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63C71" w14:textId="77777777" w:rsidR="00246F76" w:rsidRPr="00246F76" w:rsidRDefault="00246F76" w:rsidP="00246F76">
            <w:pPr>
              <w:spacing w:line="288" w:lineRule="atLeast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Местонахождение уполномоченного лица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9854D" w14:textId="77777777" w:rsidR="00246F76" w:rsidRPr="00246F76" w:rsidRDefault="00246F76" w:rsidP="00246F76">
            <w:pPr>
              <w:spacing w:line="288" w:lineRule="atLeast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Информационный ресурс (система)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BDB66" w14:textId="77777777" w:rsidR="00246F76" w:rsidRPr="00246F76" w:rsidRDefault="00246F76" w:rsidP="00246F76">
            <w:pPr>
              <w:spacing w:line="288" w:lineRule="atLeast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Цель обработки</w:t>
            </w:r>
          </w:p>
        </w:tc>
      </w:tr>
      <w:tr w:rsidR="00246F76" w:rsidRPr="00246F76" w14:paraId="026640EB" w14:textId="77777777" w:rsidTr="00246F76"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41FD99F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1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4EC7005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ООО ”Белорусские облачные технологии“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D923FB1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г. Минск, ул. К. Цеткин, д. 24, пом. 602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EA234E6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электронная почта Light;</w:t>
            </w: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br/>
              <w:t>облачная видеоконференцсвязь IVA MCU;</w:t>
            </w: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br/>
              <w:t>официальный сайт;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FD46653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услуга облачной инфраструктуры;</w:t>
            </w: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br/>
              <w:t>услуга доступа к информационной системе;</w:t>
            </w: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br/>
              <w:t>обеспечение резервного копирования</w:t>
            </w:r>
          </w:p>
        </w:tc>
      </w:tr>
      <w:tr w:rsidR="00246F76" w:rsidRPr="00246F76" w14:paraId="0DD2FEBB" w14:textId="77777777" w:rsidTr="00246F76"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7D524C8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2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6F0C2FC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РУП ”Национальный центр электронных услуг“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D74FC1D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г. Минск, ул. Раковская, д. 14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BF8B1B7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СЭД ”</w:t>
            </w:r>
            <w:proofErr w:type="spellStart"/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SMBusiness</w:t>
            </w:r>
            <w:proofErr w:type="spellEnd"/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“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EC67067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сопровождение информационной системы</w:t>
            </w:r>
          </w:p>
        </w:tc>
      </w:tr>
      <w:tr w:rsidR="00246F76" w:rsidRPr="00246F76" w14:paraId="26C06B60" w14:textId="77777777" w:rsidTr="00246F76"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2830134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3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6D22DB7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УП ”ИВЦ Минфина“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83088D7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 xml:space="preserve">г. Минск, ул. </w:t>
            </w:r>
            <w:proofErr w:type="spellStart"/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Кальварийская</w:t>
            </w:r>
            <w:proofErr w:type="spellEnd"/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, д. 17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8FE8543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proofErr w:type="spellStart"/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Зарплата_Штатное</w:t>
            </w:r>
            <w:proofErr w:type="spellEnd"/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74B170F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сопровождение информационной системы</w:t>
            </w:r>
          </w:p>
        </w:tc>
      </w:tr>
      <w:tr w:rsidR="00246F76" w:rsidRPr="00246F76" w14:paraId="7EE73117" w14:textId="77777777" w:rsidTr="00246F76"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EE3FBF2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4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B4543FC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ЗАО ”Интеллектуальные системы“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B4E08EB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г. Минск, ул. Пинская, 28А-21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BB8E834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ПО ”</w:t>
            </w:r>
            <w:proofErr w:type="spellStart"/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ИС:Управление</w:t>
            </w:r>
            <w:proofErr w:type="spellEnd"/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 xml:space="preserve"> бюджетным учреждением 8“;</w:t>
            </w: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br/>
              <w:t>ПО ”ИС: Управление учебным центром 8 для 1С: Предприятие 8“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FB0DBA5" w14:textId="77777777" w:rsidR="00246F76" w:rsidRPr="00246F76" w:rsidRDefault="00246F76" w:rsidP="00246F76">
            <w:pPr>
              <w:jc w:val="left"/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</w:pP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t>эксплуатация информационной системы;</w:t>
            </w: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br/>
              <w:t xml:space="preserve">обновление программного обеспечения, консультирование по </w:t>
            </w:r>
            <w:r w:rsidRPr="00246F76">
              <w:rPr>
                <w:rFonts w:eastAsia="Times New Roman" w:cs="Times New Roman"/>
                <w:color w:val="777777"/>
                <w:kern w:val="0"/>
                <w:sz w:val="21"/>
                <w:szCs w:val="21"/>
                <w:lang w:val="ru-BY" w:eastAsia="ru-BY"/>
                <w14:ligatures w14:val="none"/>
              </w:rPr>
              <w:lastRenderedPageBreak/>
              <w:t>эксплуатации ПО через интернет-соединение посредством удаленного доступа</w:t>
            </w:r>
          </w:p>
        </w:tc>
      </w:tr>
    </w:tbl>
    <w:p w14:paraId="46D947D3" w14:textId="77777777" w:rsidR="006C1194" w:rsidRPr="00246F76" w:rsidRDefault="006C1194">
      <w:pPr>
        <w:rPr>
          <w:rFonts w:cs="Times New Roman"/>
          <w:lang w:val="ru-BY"/>
        </w:rPr>
      </w:pPr>
    </w:p>
    <w:sectPr w:rsidR="006C1194" w:rsidRPr="0024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4B3"/>
    <w:multiLevelType w:val="multilevel"/>
    <w:tmpl w:val="8006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B7EAF"/>
    <w:multiLevelType w:val="multilevel"/>
    <w:tmpl w:val="C728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D7A7E"/>
    <w:multiLevelType w:val="multilevel"/>
    <w:tmpl w:val="131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085FD2"/>
    <w:multiLevelType w:val="multilevel"/>
    <w:tmpl w:val="84B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8A4E52"/>
    <w:multiLevelType w:val="multilevel"/>
    <w:tmpl w:val="BE82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76"/>
    <w:rsid w:val="00246F76"/>
    <w:rsid w:val="002B3C27"/>
    <w:rsid w:val="005345B8"/>
    <w:rsid w:val="006C1194"/>
    <w:rsid w:val="008517ED"/>
    <w:rsid w:val="00C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7C7B"/>
  <w15:chartTrackingRefBased/>
  <w15:docId w15:val="{BC8CACDD-C4C4-467E-8BA8-F229FF5D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73D"/>
    <w:pPr>
      <w:spacing w:after="0" w:line="240" w:lineRule="auto"/>
      <w:jc w:val="both"/>
    </w:pPr>
    <w:rPr>
      <w:rFonts w:ascii="Times New Roman" w:hAnsi="Times New Roman"/>
      <w:sz w:val="30"/>
    </w:rPr>
  </w:style>
  <w:style w:type="paragraph" w:styleId="1">
    <w:name w:val="heading 1"/>
    <w:basedOn w:val="a"/>
    <w:link w:val="10"/>
    <w:uiPriority w:val="9"/>
    <w:qFormat/>
    <w:rsid w:val="00246F76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F76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Hyperlink"/>
    <w:basedOn w:val="a0"/>
    <w:uiPriority w:val="99"/>
    <w:semiHidden/>
    <w:unhideWhenUsed/>
    <w:rsid w:val="00246F76"/>
    <w:rPr>
      <w:color w:val="0000FF"/>
      <w:u w:val="single"/>
    </w:rPr>
  </w:style>
  <w:style w:type="character" w:customStyle="1" w:styleId="fbc-separator">
    <w:name w:val="fbc-separator"/>
    <w:basedOn w:val="a0"/>
    <w:rsid w:val="00246F76"/>
  </w:style>
  <w:style w:type="paragraph" w:customStyle="1" w:styleId="active">
    <w:name w:val="active"/>
    <w:basedOn w:val="a"/>
    <w:rsid w:val="00246F76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onenewdate">
    <w:name w:val="one_new_date"/>
    <w:basedOn w:val="a"/>
    <w:rsid w:val="00246F76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246F76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val="ru-BY" w:eastAsia="ru-BY"/>
      <w14:ligatures w14:val="none"/>
    </w:rPr>
  </w:style>
  <w:style w:type="character" w:styleId="a5">
    <w:name w:val="Strong"/>
    <w:basedOn w:val="a0"/>
    <w:uiPriority w:val="22"/>
    <w:qFormat/>
    <w:rsid w:val="00246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5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9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6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68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07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6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0784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9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10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68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6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06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3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85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2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4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17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54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9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48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02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9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9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60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2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8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408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00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8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61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7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0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917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5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42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948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8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0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854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9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5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51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7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63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1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200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13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51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99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8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0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86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2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17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73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2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0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9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94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02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29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8" w:color="auto"/>
                                                        <w:left w:val="single" w:sz="2" w:space="12" w:color="auto"/>
                                                        <w:bottom w:val="single" w:sz="2" w:space="8" w:color="auto"/>
                                                        <w:right w:val="single" w:sz="2" w:space="12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3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499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9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9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80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pd.by" TargetMode="External"/><Relationship Id="rId5" Type="http://schemas.openxmlformats.org/officeDocument/2006/relationships/hyperlink" Target="mailto:info@cpd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1697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Alexey</dc:creator>
  <cp:keywords/>
  <dc:description/>
  <cp:lastModifiedBy>Alexey Alexey</cp:lastModifiedBy>
  <cp:revision>1</cp:revision>
  <dcterms:created xsi:type="dcterms:W3CDTF">2024-06-21T10:21:00Z</dcterms:created>
  <dcterms:modified xsi:type="dcterms:W3CDTF">2024-06-21T10:22:00Z</dcterms:modified>
</cp:coreProperties>
</file>